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 analysis: multivariable (sub)HR per 10 % decline in eGFR difference (%) — 100 × (CKD-EPI 2012 CysC − CKD-EPI 2021 Cr) / CKD-EPI 2021 Cr — Carboplatin AUC ≥ 3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(1.01, 1.19)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(1.02,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(0.92,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0.208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 (1.39, 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(0.97,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(1.01,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(1.05,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 (1.19,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(1.03,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 (1.13,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 (1.63, 4.51)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2026-07-17T12:49:39Z</dcterms:modified>
  <cp:category/>
</cp:coreProperties>
</file>