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0.1 decline in eGFR ratio (CKD-EPI 2012 CysC / CKD-EPI 2021 Cr) — Whole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1083"/>
        <w:gridCol w:w="2159"/>
        <w:gridCol w:w="1132"/>
      </w:tblGrid>
      <w:tr>
        <w:trPr>
          <w:trHeight w:val="61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(1.03, 1.16)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 (1.07,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(1.06,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(1.04, 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(1.09,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(1.08,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(1.09,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(1.16,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(1.01,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(1.08,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(1.33, 2.12)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2026-07-03T17:21:19Z</dcterms:modified>
  <cp:category/>
</cp:coreProperties>
</file>