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gridSpan w:val="15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OVERDOSE (%)</w:t>
            </w:r>
          </w:p>
        </w:tc>
      </w:tr>
      <w:tr>
        <w:trPr>
          <w:trHeight w:val="360" w:hRule="auto"/>
          <w:tblHeader/>
        </w:trPr>
        header2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gridSpan w:val="4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BMI category (kg/m²)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 disease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Age (years)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Sarcopenia (Prado)</w:t>
            </w:r>
          </w:p>
        </w:tc>
      </w:tr>
      <w:tr>
        <w:trPr>
          <w:trHeight w:val="360" w:hRule="auto"/>
          <w:tblHeader/>
        </w:trPr>
        header3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eGFR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Equation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Overall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&lt;20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20 to &lt;25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25 to &lt;30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&gt;=30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Not 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Metastatic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&lt;70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≥70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Non-sarcopenic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Sarcopenic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38.5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50.4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CB26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25.9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38.8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37.3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48.0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54.8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B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9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623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1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74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B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E3A2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61A2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29.3</w:t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23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96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5E2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6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47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C4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14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8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A5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88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A934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46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55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eGFRcr-cys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5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A2F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23.4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83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221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27.4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4612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F3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1322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E5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03F21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B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5683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22A2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24.8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EKFC 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34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77C3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07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873C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B9B4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95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C5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24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11.3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57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7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E7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75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CA84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10.8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ClCr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Cockcroft-Gault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51.9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52B2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24.3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5027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D1E28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28.1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39.1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31.4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35B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40.6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B2182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FFFFFF"/>
              </w:rPr>
              <w:t xml:space="preserve">33.8</w:t>
            </w:r>
          </w:p>
        </w:tc>
      </w:tr>
      <w:tr>
        <w:trPr>
          <w:trHeight w:val="360" w:hRule="auto"/>
        </w:trPr>
        body8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CKD-EPI 4-marker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6E32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AD4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D27A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24C26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18.5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E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B45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9.5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67435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15.2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ECA6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D3E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98A3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DB04B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14523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to909</cp:lastModifiedBy>
  <cp:revision>9</cp:revision>
  <dcterms:created xsi:type="dcterms:W3CDTF">2017-02-28T11:18:00Z</dcterms:created>
  <dcterms:modified xsi:type="dcterms:W3CDTF">2026-10-16T10:41:14Z</dcterms:modified>
  <cp:category/>
</cp:coreProperties>
</file>