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gridSpan w:val="13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OVERDOSE (%)</w:t>
            </w:r>
          </w:p>
        </w:tc>
      </w:tr>
      <w:tr>
        <w:trPr>
          <w:trHeight w:val="360" w:hRule="auto"/>
          <w:tblHeader/>
        </w:trPr>
        header2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gridSpan w:val="4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BMI category (kg/m²)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Metastatic disease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Age (years)</w:t>
            </w:r>
          </w:p>
        </w:tc>
      </w:tr>
      <w:tr>
        <w:trPr>
          <w:trHeight w:val="360" w:hRule="auto"/>
          <w:tblHeader/>
        </w:trPr>
        header3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eGFR 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Equation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Overall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&lt;20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20 to &lt;25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25 to &lt;30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&gt;=30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Not metastatic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Metastatic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&lt;70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≥70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24.4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27.7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21.3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44.3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29.7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22.5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19.3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23.8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28.1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23.6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27.4</w:t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7.7</w:t>
            </w:r>
          </w:p>
        </w:tc>
      </w:tr>
      <w:tr>
        <w:trPr>
          <w:trHeight w:val="360" w:hRule="auto"/>
        </w:trPr>
        body3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2.7</w:t>
            </w:r>
          </w:p>
        </w:tc>
      </w:tr>
      <w:tr>
        <w:trPr>
          <w:trHeight w:val="360" w:hRule="auto"/>
        </w:trPr>
        body4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1.5</w:t>
            </w:r>
          </w:p>
        </w:tc>
      </w:tr>
      <w:tr>
        <w:trPr>
          <w:trHeight w:val="360" w:hRule="auto"/>
        </w:trPr>
        body5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eGFRcr-cys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8.1</w:t>
            </w:r>
          </w:p>
        </w:tc>
      </w:tr>
      <w:tr>
        <w:trPr>
          <w:trHeight w:val="360" w:hRule="auto"/>
        </w:trPr>
        body6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3.9</w:t>
            </w:r>
          </w:p>
        </w:tc>
      </w:tr>
      <w:tr>
        <w:trPr>
          <w:trHeight w:val="36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ClCr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Cockcroft-Gault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40.1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44.4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32.6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8.1</w:t>
            </w:r>
          </w:p>
        </w:tc>
      </w:tr>
      <w:tr>
        <w:trPr>
          <w:trHeight w:val="360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Panel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4-marker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7.3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2026-10-16T10:41:00Z</dcterms:modified>
  <cp:category/>
</cp:coreProperties>
</file>