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534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(serial creatinine, KDIGO-style)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(13.3%)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(&gt;30% eGFR drop to &lt;60,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342 (217-504)</w:t>
            </w:r>
          </w:p>
        </w:tc>
      </w:tr>
      <w:tr>
        <w:trPr>
          <w:trHeight w:val="62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(eGFR &lt;60 at baseline and after)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 (73-168)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 (78-350)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2026-08-19T20:30:04Z</dcterms:modified>
  <cp:category/>
</cp:coreProperties>
</file>