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Sensitivity analysis: multivariable (sub)HR per 10 % decline in eGFR difference (%) — 100 × (CKD-EPI 2012 CysC − CKD-EPI 2021 Cr) / CKD-EPI 2021 Cr — Carboplatin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71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 (1.01, 1.34)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 (1.00, 2.45)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 (0.60, 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0.729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estimable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estimable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 (0.80, 3.28)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0.178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 (0.94, 2.45)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 (0.99, 1.38)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 (1.12, 2.21)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 (0.70, 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0.509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 (0.65, 1.40)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0.812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7.81 (0.00, Inf)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2026-08-19T20:29:47Z</dcterms:modified>
  <cp:category/>
</cp:coreProperties>
</file>