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190).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(16.3%)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385 (278-474)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(7-78)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(8.9%)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(7-343)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2026-08-19T20:27:35Z</dcterms:modified>
  <cp:category/>
</cp:coreProperties>
</file>