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943).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534"/>
        <w:gridCol w:w="1609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(serial creatinine, KDIGO-style)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240 (25.5%)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 (63-274)</w:t>
            </w:r>
          </w:p>
        </w:tc>
      </w:tr>
      <w:tr>
        <w:trPr>
          <w:trHeight w:val="61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(&gt;30% eGFR drop to &lt;60, sustained)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252 (105-413)</w:t>
            </w:r>
          </w:p>
        </w:tc>
      </w:tr>
      <w:tr>
        <w:trPr>
          <w:trHeight w:val="62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(eGFR &lt;60 at baseline and after)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(7-120)</w:t>
            </w:r>
          </w:p>
        </w:tc>
      </w:tr>
      <w:tr>
        <w:trPr>
          <w:trHeight w:val="61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(15-30)</w:t>
            </w:r>
          </w:p>
        </w:tc>
      </w:tr>
      <w:tr>
        <w:trPr>
          <w:trHeight w:val="619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 (11.5%)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 (18-253)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2026-08-19T20:23:56Z</dcterms:modified>
  <cp:category/>
</cp:coreProperties>
</file>