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534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(serial creatinine, KDIGO-style)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(&gt;30% eGFR drop to &lt;60,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(108-413)</w:t>
            </w:r>
          </w:p>
        </w:tc>
      </w:tr>
      <w:tr>
        <w:trPr>
          <w:trHeight w:val="621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(eGFR &lt;60 at baseline and after)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(7-83)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19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 (10.8%)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 (7-276)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2026-08-19T20:25:52Z</dcterms:modified>
  <cp:category/>
</cp:coreProperties>
</file>