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(16.1%)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(70-183)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 (77-240)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(122-429)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(73-385)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 (344-425)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(9.3%)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(122-417)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2026-10-19T14:04:30Z</dcterms:modified>
  <cp:category/>
</cp:coreProperties>
</file>