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 (21.0%)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(49-186)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 (64-284)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(112-438)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 (100-363)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(228-430)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(8.4%)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(112-428)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2026-10-16T11:43:07Z</dcterms:modified>
  <cp:category/>
</cp:coreProperties>
</file>