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322).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 (16.1%)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 (70-183)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 (77-240)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254 (122-429)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165 (73-385)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390 (344-425)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 (9.3%)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 (122-417)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2026-10-16T11:36:21Z</dcterms:modified>
  <cp:category/>
</cp:coreProperties>
</file>