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Long-horizon kidney outcomes (N = 189). Not censored at 90 days.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430"/>
        <w:gridCol w:w="1487"/>
        <w:gridCol w:w="3101"/>
      </w:tblGrid>
      <w:tr>
        <w:trPr>
          <w:trHeight w:val="62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days to event (IQR)</w:t>
            </w:r>
          </w:p>
        </w:tc>
      </w:tr>
      <w:tr>
        <w:trPr>
          <w:trHeight w:val="61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AKI within 1 year (serial creatinine)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(12.7%)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 (62-189)</w:t>
            </w:r>
          </w:p>
        </w:tc>
      </w:tr>
      <w:tr>
        <w:trPr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AKI at any time (reference only, not modelled)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(16.9%)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 (70-300)</w:t>
            </w:r>
          </w:p>
        </w:tc>
      </w:tr>
      <w:tr>
        <w:trPr>
          <w:trHeight w:val="61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 incidence (&gt;25% eGFR drop to &lt;60, sustained &gt;=90d)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 (236-480)</w:t>
            </w:r>
          </w:p>
        </w:tc>
      </w:tr>
      <w:tr>
        <w:trPr>
          <w:trHeight w:val="62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 incidence any (&gt;=60 to &lt;60, sustained &gt;=90d, no % drop)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268 (125-433)</w:t>
            </w:r>
          </w:p>
        </w:tc>
      </w:tr>
      <w:tr>
        <w:trPr>
          <w:trHeight w:val="62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 progression (&lt;60 at baseline, further &gt;30% drop, sustained &gt;=90d)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430 (425-436)</w:t>
            </w:r>
          </w:p>
        </w:tc>
      </w:tr>
      <w:tr>
        <w:trPr>
          <w:trHeight w:val="618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ESKD (eGFR &lt;10, sustained &gt;=90d)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62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ESRD / kidney transplant after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619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ESKD composite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(38-38)</w:t>
            </w:r>
          </w:p>
        </w:tc>
      </w:tr>
      <w:tr>
        <w:trPr>
          <w:trHeight w:val="621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 composite (incidence + progression + ESKD composite)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(7.4%)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 (193-466)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2026-10-27T16:02:34Z</dcterms:modified>
  <cp:category/>
</cp:coreProperties>
</file>