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(sub)HR per 10 mL/min decline in eGFR discrepancy (CKD-EPI Cr-Cys − Cockcroft-Gault) — Carboplatin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719"/>
        <w:gridCol w:w="778"/>
        <w:gridCol w:w="2734"/>
        <w:gridCol w:w="1083"/>
        <w:gridCol w:w="2159"/>
        <w:gridCol w:w="1132"/>
      </w:tblGrid>
      <w:tr>
        <w:trPr>
          <w:trHeight w:val="62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Excluded (missing cov.)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 (0.88, 1.30)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0.475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1.81 (1.07, 3.08)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(0.66, 2.13)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0.562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not estimable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3.25 (1.41, 7.47)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 (0.89, 3.53)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0.104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 (1.04, 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 (1.37, 3.01)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 (1.05, 1.78)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 (0.98, 2.29)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25.19 (0.00, Inf)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2026-07-29T17:36:04Z</dcterms:modified>
  <cp:category/>
</cp:coreProperties>
</file>