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(12.2%)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(60-184)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(172-408)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(112-440)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(160-414)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2026-10-12T12:38:26Z</dcterms:modified>
  <cp:category/>
</cp:coreProperties>
</file>