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 (20.9%)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(49-185)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 (63-274)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 (97-345)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330 (191-425)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2026-10-12T12:38:03Z</dcterms:modified>
  <cp:category/>
</cp:coreProperties>
</file>