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322).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 (15.8%)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 (68-180)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 (77-236)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 (119-406)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151 (72-385)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 (301-420)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 (8.1%)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 (122-404)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2026-10-12T12:37:40Z</dcterms:modified>
  <cp:category/>
</cp:coreProperties>
</file>