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943).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609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 (21.0%)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(49-186)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243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 (64-284)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(112-438)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194 (100-363)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 (228-430)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(15-30)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 (8.4%)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(112-428)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2026-10-27T11:00:01Z</dcterms:modified>
  <cp:category/>
</cp:coreProperties>
</file>