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Long-horizon kidney outcomes (N = 142). Not censored at 90 days.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30"/>
        <w:gridCol w:w="1487"/>
        <w:gridCol w:w="3101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days to event (IQR)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within 1 year (serial creatinine)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(74-183)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at any time (reference only, not modelled)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 (92-441)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incidence (&gt;25% eGFR drop to &lt;60,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(160-407)</w:t>
            </w:r>
          </w:p>
        </w:tc>
      </w:tr>
      <w:tr>
        <w:trPr>
          <w:trHeight w:val="6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incidence any (&gt;=60 to &lt;60, sustained &gt;=90d, no % drop)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 (148-486)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progression (&lt;60 at baseline, further &gt;30% drop,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ESKD (eGFR &lt;10,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ESRD / kidney transplant after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9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ESKD 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21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composite (incidence + progression + ESKD composite)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(4.9%)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(160-407)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2026-10-09T13:19:18Z</dcterms:modified>
  <cp:category/>
</cp:coreProperties>
</file>