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(20.9%)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(49-185)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 (63-274)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 (97-345)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330 (191-425)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2026-10-09T13:02:23Z</dcterms:modified>
  <cp:category/>
</cp:coreProperties>
</file>