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189).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(12.7%)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 (62-189)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 (70-300)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(236-480)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268 (125-433)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430 (425-436)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(7.4%)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2026-10-27T09:35:26Z</dcterms:modified>
  <cp:category/>
</cp:coreProperties>
</file>