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 (21.0%)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(49-186)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 (64-284)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(112-438)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 (100-363)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(228-430)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(8.4%)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(112-428)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2026-10-27T09:34:15Z</dcterms:modified>
  <cp:category/>
</cp:coreProperties>
</file>