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 (16.1%)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(70-183)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 (77-240)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(122-429)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(73-385)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 (344-425)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 (9.3%)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(122-417)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2026-10-27T09:33:05Z</dcterms:modified>
  <cp:category/>
</cp:coreProperties>
</file>