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189).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487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(12.2%)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 (60-184)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132 (68-326)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273 (172-408)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 (10.6%)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265 (112-440)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430 (425-436)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 (38-38)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(5.8%)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273 (160-414)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2026-10-13T10:10:25Z</dcterms:modified>
  <cp:category/>
</cp:coreProperties>
</file>