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Sensitivity analysis: multivariable (sub)HR per 10 % decline in eGFR difference (%) — 100 × (CKD-EPI 2012 CysC − CKD-EPI 2021 Cr) / CKD-EPI 2021 Cr — Whole cohort. Fine-Gray for competing-risk outcomes; Cox PH for 90-day death.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590"/>
        <w:gridCol w:w="1389"/>
        <w:gridCol w:w="778"/>
        <w:gridCol w:w="2734"/>
        <w:gridCol w:w="1083"/>
        <w:gridCol w:w="2159"/>
        <w:gridCol w:w="1132"/>
      </w:tblGrid>
      <w:tr>
        <w:trPr>
          <w:trHeight w:val="62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Excluded (missing cov.)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(sub)HR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432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 (1.03, 1.16)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 (1.07, 1.36)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62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 (1.06, 1.31)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62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 (1.04, 1.59)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0.020</w:t>
            </w:r>
          </w:p>
        </w:tc>
      </w:tr>
      <w:tr>
        <w:trPr>
          <w:trHeight w:val="62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 (1.09, 1.41)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62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(KDIGO)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 (1.08, 1.39)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62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2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 (1.09, 1.21)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3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 (1.16, 1.43)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Overall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 (1.01, 1.17)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0.031</w:t>
            </w:r>
          </w:p>
        </w:tc>
      </w:tr>
      <w:tr>
        <w:trPr>
          <w:trHeight w:val="62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Platinum-Related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 (1.08, 1.32)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body11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90-Day Death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Cox PH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1.68 (1.33, 2.12)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2026-08-19T20:10:54Z</dcterms:modified>
  <cp:category/>
</cp:coreProperties>
</file>