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(105-413)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(7-120)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(11.5%)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(18-253)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2026-08-19T20:09:15Z</dcterms:modified>
  <cp:category/>
</cp:coreProperties>
</file>