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(108-413)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(7-83)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(10.8%)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(7-276)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2026-08-19T20:13:05Z</dcterms:modified>
  <cp:category/>
</cp:coreProperties>
</file>