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Long-horizon kidney outcomes (N = 189). Not censored at 90 days.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430"/>
        <w:gridCol w:w="1487"/>
        <w:gridCol w:w="3101"/>
      </w:tblGrid>
      <w:tr>
        <w:trPr>
          <w:trHeight w:val="62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days to event (IQR)</w:t>
            </w:r>
          </w:p>
        </w:tc>
      </w:tr>
      <w:tr>
        <w:trPr>
          <w:trHeight w:val="61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within 1 year (serial creatinine)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 (12.7%)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99 (62-189)</w:t>
            </w:r>
          </w:p>
        </w:tc>
      </w:tr>
      <w:tr>
        <w:trPr>
          <w:trHeight w:val="61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at any time (reference only, not modelled)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 (16.9%)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 (70-300)</w:t>
            </w:r>
          </w:p>
        </w:tc>
      </w:tr>
      <w:tr>
        <w:trPr>
          <w:trHeight w:val="61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(&gt;25% eGFR drop to &lt;60,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407 (236-480)</w:t>
            </w:r>
          </w:p>
        </w:tc>
      </w:tr>
      <w:tr>
        <w:trPr>
          <w:trHeight w:val="62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any (&gt;=60 to &lt;60, sustained &gt;=90d, no % drop)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268 (125-433)</w:t>
            </w:r>
          </w:p>
        </w:tc>
      </w:tr>
      <w:tr>
        <w:trPr>
          <w:trHeight w:val="62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progression (&lt;60 at baseline, further &gt;30% drop,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430 (425-436)</w:t>
            </w:r>
          </w:p>
        </w:tc>
      </w:tr>
      <w:tr>
        <w:trPr>
          <w:trHeight w:val="61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(eGFR &lt;10,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ESRD / kidney transplant after 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9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 (38-38)</w:t>
            </w:r>
          </w:p>
        </w:tc>
      </w:tr>
      <w:tr>
        <w:trPr>
          <w:trHeight w:val="621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composite (incidence + progression + ESKD composite)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 (7.4%)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407 (193-466)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2026-10-27T15:35:40Z</dcterms:modified>
  <cp:category/>
</cp:coreProperties>
</file>