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Baseline characteristics, N = 189. Continuous variables are median [IQR] except age, which is mean (SD); categorical variables are n (%). Missing is the percent missing in the cohort.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22"/>
        <w:gridCol w:w="2047"/>
        <w:gridCol w:w="2312"/>
        <w:gridCol w:w="1021"/>
      </w:tblGrid>
      <w:tr>
        <w:trPr>
          <w:trHeight w:val="580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Missing</w:t>
            </w:r>
          </w:p>
        </w:tc>
      </w:tr>
      <w:tr>
        <w:trPr>
          <w:trHeight w:val="540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(mean (SD))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63.24 (13.78)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&lt;=65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 (51.3)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66-80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 (41.3)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(75.1)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(24.9)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race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158 (83.6)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ethnicity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163 (86.2)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cancer_type_cat_7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(11.1)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(24.9)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(11.6)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 (39.7)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carbo_AUC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[3.00, 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carbo_AUC_cat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(24.9)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&gt;=3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(75.1)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172 (91.0)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Bevacizumab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186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Paclitaxel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(36.5)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120 (63.5)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Pemetrexed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180 (95.2)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Doxorubicin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186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Etoposide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182 (96.3)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Gemcitabine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185 (97.9)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Pertuzumab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151 (79.9)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(20.1)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Trastuzumab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151 (79.9)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(20.1)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Docetaxel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148 (78.3)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(21.7)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other_chemo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189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Administered_alone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186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hiv_rpdr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186 (98.4)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thyroid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147 (77.8)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(22.2)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smoking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129 (68.3)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(31.7)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steroids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187 (98.9)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esrd_kt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188 (99.5)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(16.9)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severe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144 (76.2)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score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[5.00, 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ecog_score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27.28 [23.79, 31.12]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bmi_cat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Underweight (&lt;18.5)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 (18.5-25)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 (31.2)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Overweight (25-30)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 (36.0)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Obese (&gt;=30)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 (30.7)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pre_HGB_45days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12.90 [12.10, 13.80]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pre_PLT_45days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272.00 [221.00, 332.00]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pre_ALB_45days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4.40 [4.10, 4.50]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pre_CRE_45days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[0.69, 0.91]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baseline_cys_c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 [0.82, 1.09]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baseline_cre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[0.69, 0.91]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cr_cys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 [0.73, 0.96]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baseline_cre_egfr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88.72 [75.56, 97.86]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baseline_cys_c_egfr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79.18 [62.34, 94.38]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ckd_epi_gfr_cre_cys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87.85 [72.42, 98.96]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ckd_epi_gfr_cre_cys_unindex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90.47 [73.60, 101.81]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ckd_stage_cre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(46.6)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(46.6)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G3a (45-59)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G3b (30-44)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G4 (15-29)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ckd_stage_cre_cys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 (45.0)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 (43.4)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G3a (45-59)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G3b (30-44)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G4 (15-29)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85.81 [65.00, 109.09]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3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egfr_ratio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 [0.89, 1.15]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eGFR_CRE_baseline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88.72 [75.56, 98.35]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2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ckd_stage_baseline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G1 (&gt;=90)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(46.6)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80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G2 (60-89)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(46.6)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G3 (30-59)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(5.8)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G4 (15-29)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last_cre_days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495.00 [322.00, 751.00]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aki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165 (87.3)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(12.7)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aki_any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157 (83.1)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(16.9)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ckd_incidence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177 (93.7)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ckd_incidence_any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167 (88.4)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(11.6)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2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ckd_progression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187 (98.9)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eskd_defination_1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188 (99.5)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esrd_kt_after_ici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188 (99.5)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eskd_composite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188 (99.5)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9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ckd_composite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175 (92.6)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579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3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delta_egfr_d90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2.10 [-2.70, 7.60]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583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delta_egfr_d180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-0.55 [-8.52, 3.85]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</w:t>
            </w:r>
          </w:p>
        </w:tc>
      </w:tr>
      <w:tr>
        <w:trPr>
          <w:trHeight w:val="583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delta_egfr_d365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-4.15 [-13.75, 2.10]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</w:t>
            </w:r>
          </w:p>
        </w:tc>
      </w:tr>
      <w:tr>
        <w:trPr>
          <w:trHeight w:val="583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delta_egfr_pct_d90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2.20 [-3.60, 9.70]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583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delta_egfr_pct_d180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-0.55 [-9.47, 4.18]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</w:t>
            </w:r>
          </w:p>
        </w:tc>
      </w:tr>
      <w:tr>
        <w:trPr>
          <w:trHeight w:val="583" w:hRule="auto"/>
        </w:trPr>
        body121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delta_egfr_pct_d365 (median [IQR])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-5.00 [-17.48, 3.05]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2026-10-27T15:35:40Z</dcterms:modified>
  <cp:category/>
</cp:coreProperties>
</file>