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Long-horizon kidney outcomes (N = 322). Not censored at 90 days.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430"/>
        <w:gridCol w:w="1487"/>
        <w:gridCol w:w="3101"/>
      </w:tblGrid>
      <w:tr>
        <w:trPr>
          <w:trHeight w:val="62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days to event (IQR)</w:t>
            </w:r>
          </w:p>
        </w:tc>
      </w:tr>
      <w:tr>
        <w:trPr>
          <w:trHeight w:val="61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within 1 year (serial creatinine)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(16.1%)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 (70-183)</w:t>
            </w:r>
          </w:p>
        </w:tc>
      </w:tr>
      <w:tr>
        <w:trPr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at any time (reference only, not modelled)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 (77-240)</w:t>
            </w:r>
          </w:p>
        </w:tc>
      </w:tr>
      <w:tr>
        <w:trPr>
          <w:trHeight w:val="61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 incidence (&gt;25% eGFR drop to &lt;60, sustained &gt;=90d)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254 (122-429)</w:t>
            </w:r>
          </w:p>
        </w:tc>
      </w:tr>
      <w:tr>
        <w:trPr>
          <w:trHeight w:val="62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 incidence any (&gt;=60 to &lt;60, sustained &gt;=90d, no % drop)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 (73-385)</w:t>
            </w:r>
          </w:p>
        </w:tc>
      </w:tr>
      <w:tr>
        <w:trPr>
          <w:trHeight w:val="62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 progression (&lt;60 at baseline, further &gt;30% drop, sustained &gt;=90d)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390 (344-425)</w:t>
            </w:r>
          </w:p>
        </w:tc>
      </w:tr>
      <w:tr>
        <w:trPr>
          <w:trHeight w:val="618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ESKD (eGFR &lt;10, sustained &gt;=90d)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2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ESRD / kidney transplant after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19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ESKD composite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(38-38)</w:t>
            </w:r>
          </w:p>
        </w:tc>
      </w:tr>
      <w:tr>
        <w:trPr>
          <w:trHeight w:val="621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 composite (incidence + progression + ESKD composite)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(9.3%)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265 (122-417)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2026-10-27T15:32:13Z</dcterms:modified>
  <cp:category/>
</cp:coreProperties>
</file>