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21"/>
        <w:gridCol w:w="778"/>
        <w:gridCol w:w="1084"/>
        <w:gridCol w:w="1756"/>
        <w:gridCol w:w="1181"/>
        <w:gridCol w:w="778"/>
        <w:gridCol w:w="1084"/>
        <w:gridCol w:w="187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1.21, 1.62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0.93, 1.33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0.63, 2.63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0.51, 5.87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0.92, 3.89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0.45, 2.36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0.01, 2.20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0.12, 7.15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0.10, 4.45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0.05, 6.07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</w:tr>
      <w:tr>
        <w:trPr>
          <w:trHeight w:val="5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0.89, 3.62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0.60, 6.85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0.70, 3.03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0.031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0.25, 3.94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1.71, 8.94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0.96, 5.28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0.39, 8.74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0.15, 2.79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0.13, 3.44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1.04, 4.28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22,642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8,480, 60,457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24,812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4,147, 148,460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0.54, 3.18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0.38, 2.53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</w:tr>
      <w:tr>
        <w:trPr>
          <w:trHeight w:val="619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ckd_epi_gfr_cre_cys_unindex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2026-10-27T15:32:27Z</dcterms:modified>
  <cp:category/>
</cp:coreProperties>
</file>