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(12.2%)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(60-184)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(172-408)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(112-440)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(160-414)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2026-10-14T13:47:27Z</dcterms:modified>
  <cp:category/>
</cp:coreProperties>
</file>