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(20.9%)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(49-185)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 (97-345)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 (191-425)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2026-10-14T13:46:38Z</dcterms:modified>
  <cp:category/>
</cp:coreProperties>
</file>