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322).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 (15.8%)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 (68-180)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 (77-236)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251 (119-406)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151 (72-385)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 (301-420)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 (8.1%)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 (122-404)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2026-10-14T13:45:51Z</dcterms:modified>
  <cp:category/>
</cp:coreProperties>
</file>