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190).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385 (278-474)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(7-78)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(8.9%)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(7-343)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2026-08-17T08:26:49Z</dcterms:modified>
  <cp:category/>
</cp:coreProperties>
</file>