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10 % decline in eGFR difference (%) — 100 × (CKD-EPI 2012 CysC − CKD-EPI 2021 Cr) / CKD-EPI 2021 Cr — Whole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 (1.01, 1.26)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 (1.06, 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 (0.84, 1.34)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0.629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(0.52, 2.49)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0.747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 (1.04, 1.68)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 (1.11, 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(1.06,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 (1.12, 1.74)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 (0.84,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0.954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 (0.93, 1.44)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0.197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29.66 (0.00, Inf)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2026-08-17T08:26:34Z</dcterms:modified>
  <cp:category/>
</cp:coreProperties>
</file>