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323).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534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(serial creatinine, KDIGO-style)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 (19.5%)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 (77-236)</w:t>
            </w:r>
          </w:p>
        </w:tc>
      </w:tr>
      <w:tr>
        <w:trPr>
          <w:trHeight w:val="61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(&gt;30% eGFR drop to &lt;60,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(108-413)</w:t>
            </w:r>
          </w:p>
        </w:tc>
      </w:tr>
      <w:tr>
        <w:trPr>
          <w:trHeight w:val="62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(eGFR &lt;60 at baseline and after)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 (7-83)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19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 (10.8%)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 (7-276)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2026-08-17T08:25:02Z</dcterms:modified>
  <cp:category/>
</cp:coreProperties>
</file>