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142).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(8.5%)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 (74-183)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187 (92-441)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 (193-466)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273 (156-461)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(7.0%)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 (193-466)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2026-10-27T11:23:12Z</dcterms:modified>
  <cp:category/>
</cp:coreProperties>
</file>