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(sub)HR per 10 mL/min decline in eGFR discrepancy (CKD-EPI Cr-Cys − Cockcroft-Gault).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389"/>
        <w:gridCol w:w="778"/>
        <w:gridCol w:w="2734"/>
        <w:gridCol w:w="1083"/>
        <w:gridCol w:w="30656"/>
        <w:gridCol w:w="1132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Excluded (missing cov.)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 (0.97, 1.32)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0.121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 (1.00, 1.66)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 (0.87, 1.52)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0.329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1.81 (1.04, 3.16)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 (1.05, 1.84)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 (1.01, 1.67)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0.044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 (1.11, 1.42)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 (1.17, 1.90)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 (1.02, 1.48)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 (1.06, 1.74)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18.04 (0.00, 764213628880415410683192493220953247880378426980725205405446908786818189000278794283697371663685117769605341051469312524332828751278438162486123075836589094635745904196183217983117200861283962322575447753137852011283722662835587645440.00)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0.992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2026-08-06T10:29:34Z</dcterms:modified>
  <cp:category/>
</cp:coreProperties>
</file>