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943).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609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 (20.9%)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(49-185)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 (63-274)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 (97-345)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330 (191-425)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(15-30)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(7.4%)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(105-404)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2026-10-13T08:10:29Z</dcterms:modified>
  <cp:category/>
</cp:coreProperties>
</file>