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(148-486)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(4.9%)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(160-407)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2026-10-13T10:28:29Z</dcterms:modified>
  <cp:category/>
</cp:coreProperties>
</file>