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(12.2%)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(60-184)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(172-408)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(112-440)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(160-414)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2026-10-13T10:28:13Z</dcterms:modified>
  <cp:category/>
</cp:coreProperties>
</file>