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(20.9%)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(49-185)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 (63-274)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 (97-345)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330 (191-425)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2026-10-13T10:27:50Z</dcterms:modified>
  <cp:category/>
</cp:coreProperties>
</file>