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[-2.8, 7.4]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(2.3%)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(7.5%)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 [-13.6,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 [-17.2, 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(12.1%)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2026-10-13T09:29:50Z</dcterms:modified>
  <cp:category/>
</cp:coreProperties>
</file>