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(20.9%)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(49-185)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 (97-345)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 (191-425)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2026-10-13T09:29:27Z</dcterms:modified>
  <cp:category/>
</cp:coreProperties>
</file>