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142).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(8.5%)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 (74-183)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 (92-441)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(160-407)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(148-486)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(4.9%)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(160-407)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2026-10-09T11:55:37Z</dcterms:modified>
  <cp:category/>
</cp:coreProperties>
</file>