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189).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(12.2%)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(60-184)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(68-326)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(172-408)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(112-440)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(5.8%)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(160-414)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2026-10-09T11:53:04Z</dcterms:modified>
  <cp:category/>
</cp:coreProperties>
</file>