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Sensitivity analysis: multivariable (sub)HR per 10 % decline in eGFR difference (%) — 100 × (CKD-EPI 2012 CysC − CKD-EPI 2021 Cr) / CKD-EPI 2021 Cr — Whole cohort.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(1.03,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(1.07,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(1.06,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(1.04,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 (1.09,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(1.08,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(1.09,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 (1.16,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 (1.01,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(1.08,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(1.34, 2.12)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2026-10-09T11:50:59Z</dcterms:modified>
  <cp:category/>
</cp:coreProperties>
</file>