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Long-horizon kidney outcomes (N = 322). Not censored at 90 days.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430"/>
        <w:gridCol w:w="1487"/>
        <w:gridCol w:w="3101"/>
      </w:tblGrid>
      <w:tr>
        <w:trPr>
          <w:trHeight w:val="62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days to event (IQR)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within 1 year (serial creatinine)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(15.8%)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(68-180)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at any time (reference only, not modelled)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 (19.6%)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 (77-236)</w:t>
            </w:r>
          </w:p>
        </w:tc>
      </w:tr>
      <w:tr>
        <w:trPr>
          <w:trHeight w:val="61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(&gt;25% eGFR drop to &lt;60,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 (119-406)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incidence any (&gt;=60 to &lt;60, sustained &gt;=90d, no % drop)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 (11.5%)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 (72-385)</w:t>
            </w:r>
          </w:p>
        </w:tc>
      </w:tr>
      <w:tr>
        <w:trPr>
          <w:trHeight w:val="621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progression (&lt;60 at baseline, further &gt;30% drop,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 (301-420)</w:t>
            </w:r>
          </w:p>
        </w:tc>
      </w:tr>
      <w:tr>
        <w:trPr>
          <w:trHeight w:val="61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(eGFR &lt;10, sustained &gt;=90d)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2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ESRD / kidney transplant after 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619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ESKD composite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(38-38)</w:t>
            </w:r>
          </w:p>
        </w:tc>
      </w:tr>
      <w:tr>
        <w:trPr>
          <w:trHeight w:val="621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 composite (incidence + progression + ESKD composite)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 (8.1%)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 (122-404)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2026-10-09T11:51:16Z</dcterms:modified>
  <cp:category/>
</cp:coreProperties>
</file>