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(sub)HR per 10 mL/min decline in eGFR discrepancy (CKD-EPI Cr-Cys − Cockcroft-Gault). Fine-Gray for competing-risk outcomes; Cox PH for 90-day death.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90"/>
        <w:gridCol w:w="1389"/>
        <w:gridCol w:w="778"/>
        <w:gridCol w:w="2734"/>
        <w:gridCol w:w="1083"/>
        <w:gridCol w:w="2159"/>
        <w:gridCol w:w="1132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(missing cov.)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(sub)HR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(0.97, 1.33)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 (0.99, 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 (0.87,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0.332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1.85 (1.05, 3.27)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 (1.05, 1.84)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(KDIGO)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 (1.00, 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2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 (1.12,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3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 (1.17, 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 (1.02,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Platinum-Related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 (1.07, 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90-Day Death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Cox PH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21.78 (0.00, Inf)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2026-10-09T11:52:42Z</dcterms:modified>
  <cp:category/>
</cp:coreProperties>
</file>